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3CD" w:rsidRDefault="00B013CD" w:rsidP="00B013CD">
      <w:pPr>
        <w:autoSpaceDE w:val="0"/>
        <w:autoSpaceDN w:val="0"/>
        <w:adjustRightInd w:val="0"/>
        <w:spacing w:after="0" w:line="240" w:lineRule="auto"/>
        <w:jc w:val="both"/>
        <w:rPr>
          <w:rFonts w:ascii="Arial" w:hAnsi="Arial" w:cs="Arial"/>
          <w:color w:val="231F20"/>
          <w:sz w:val="24"/>
          <w:szCs w:val="24"/>
        </w:rPr>
      </w:pPr>
      <w:r w:rsidRPr="00B013CD">
        <w:rPr>
          <w:rFonts w:ascii="Arial" w:hAnsi="Arial" w:cs="Arial"/>
          <w:color w:val="231F20"/>
          <w:sz w:val="24"/>
          <w:szCs w:val="24"/>
        </w:rPr>
        <w:t>In section 80CCD of the Income-tax Act, in sub-section (</w:t>
      </w:r>
      <w:r w:rsidRPr="00B013CD">
        <w:rPr>
          <w:rFonts w:ascii="Arial" w:hAnsi="Arial" w:cs="Arial"/>
          <w:i/>
          <w:iCs/>
          <w:color w:val="231F20"/>
          <w:sz w:val="24"/>
          <w:szCs w:val="24"/>
        </w:rPr>
        <w:t>1</w:t>
      </w:r>
      <w:r w:rsidRPr="00B013CD">
        <w:rPr>
          <w:rFonts w:ascii="Arial" w:hAnsi="Arial" w:cs="Arial"/>
          <w:color w:val="231F20"/>
          <w:sz w:val="24"/>
          <w:szCs w:val="24"/>
        </w:rPr>
        <w:t>), with effect from the 1st day of</w:t>
      </w:r>
      <w:r>
        <w:rPr>
          <w:rFonts w:ascii="Arial" w:hAnsi="Arial" w:cs="Arial"/>
          <w:color w:val="231F20"/>
          <w:sz w:val="24"/>
          <w:szCs w:val="24"/>
        </w:rPr>
        <w:t xml:space="preserve"> </w:t>
      </w:r>
      <w:r w:rsidRPr="00B013CD">
        <w:rPr>
          <w:rFonts w:ascii="Arial" w:hAnsi="Arial" w:cs="Arial"/>
          <w:color w:val="231F20"/>
          <w:sz w:val="24"/>
          <w:szCs w:val="24"/>
        </w:rPr>
        <w:t>April, 2015,––</w:t>
      </w:r>
    </w:p>
    <w:p w:rsidR="00B013CD" w:rsidRPr="00B013CD" w:rsidRDefault="00B013CD" w:rsidP="00B013CD">
      <w:pPr>
        <w:autoSpaceDE w:val="0"/>
        <w:autoSpaceDN w:val="0"/>
        <w:adjustRightInd w:val="0"/>
        <w:spacing w:after="0" w:line="240" w:lineRule="auto"/>
        <w:jc w:val="both"/>
        <w:rPr>
          <w:rFonts w:ascii="Arial" w:hAnsi="Arial" w:cs="Arial"/>
          <w:color w:val="231F20"/>
          <w:sz w:val="24"/>
          <w:szCs w:val="24"/>
        </w:rPr>
      </w:pPr>
    </w:p>
    <w:p w:rsidR="00B013CD" w:rsidRPr="00B013CD" w:rsidRDefault="00B013CD" w:rsidP="00B013CD">
      <w:pPr>
        <w:pStyle w:val="ListParagraph"/>
        <w:numPr>
          <w:ilvl w:val="0"/>
          <w:numId w:val="1"/>
        </w:numPr>
        <w:autoSpaceDE w:val="0"/>
        <w:autoSpaceDN w:val="0"/>
        <w:adjustRightInd w:val="0"/>
        <w:spacing w:after="0" w:line="240" w:lineRule="auto"/>
        <w:jc w:val="both"/>
        <w:rPr>
          <w:rFonts w:ascii="Arial" w:hAnsi="Arial" w:cs="Arial"/>
          <w:color w:val="231F20"/>
          <w:sz w:val="24"/>
          <w:szCs w:val="24"/>
        </w:rPr>
      </w:pPr>
      <w:r w:rsidRPr="00B013CD">
        <w:rPr>
          <w:rFonts w:ascii="Arial" w:hAnsi="Arial" w:cs="Arial"/>
          <w:color w:val="231F20"/>
          <w:sz w:val="24"/>
          <w:szCs w:val="24"/>
        </w:rPr>
        <w:t xml:space="preserve">for the words, figures and letters “Where an </w:t>
      </w:r>
      <w:proofErr w:type="spellStart"/>
      <w:r w:rsidRPr="00B013CD">
        <w:rPr>
          <w:rFonts w:ascii="Arial" w:hAnsi="Arial" w:cs="Arial"/>
          <w:color w:val="231F20"/>
          <w:sz w:val="24"/>
          <w:szCs w:val="24"/>
        </w:rPr>
        <w:t>assessee</w:t>
      </w:r>
      <w:proofErr w:type="spellEnd"/>
      <w:r w:rsidRPr="00B013CD">
        <w:rPr>
          <w:rFonts w:ascii="Arial" w:hAnsi="Arial" w:cs="Arial"/>
          <w:color w:val="231F20"/>
          <w:sz w:val="24"/>
          <w:szCs w:val="24"/>
        </w:rPr>
        <w:t xml:space="preserve">, being an individual employed by the </w:t>
      </w:r>
      <w:r w:rsidRPr="00B013CD">
        <w:rPr>
          <w:rFonts w:ascii="Arial" w:hAnsi="Arial" w:cs="Arial"/>
          <w:b/>
          <w:color w:val="231F20"/>
          <w:sz w:val="24"/>
          <w:szCs w:val="24"/>
        </w:rPr>
        <w:t>Central Government or any other employer</w:t>
      </w:r>
      <w:r w:rsidRPr="00B013CD">
        <w:rPr>
          <w:rFonts w:ascii="Arial" w:hAnsi="Arial" w:cs="Arial"/>
          <w:color w:val="231F20"/>
          <w:sz w:val="24"/>
          <w:szCs w:val="24"/>
        </w:rPr>
        <w:t xml:space="preserve"> </w:t>
      </w:r>
      <w:r w:rsidRPr="00B013CD">
        <w:rPr>
          <w:rFonts w:ascii="Arial" w:hAnsi="Arial" w:cs="Arial"/>
          <w:b/>
          <w:color w:val="231F20"/>
          <w:sz w:val="24"/>
          <w:szCs w:val="24"/>
        </w:rPr>
        <w:t>on or after the 1st day of January, 2004”</w:t>
      </w:r>
      <w:r w:rsidRPr="00B013CD">
        <w:rPr>
          <w:rFonts w:ascii="Arial" w:hAnsi="Arial" w:cs="Arial"/>
          <w:color w:val="231F20"/>
          <w:sz w:val="24"/>
          <w:szCs w:val="24"/>
        </w:rPr>
        <w:t xml:space="preserve">, the words, figures and letters “Where an </w:t>
      </w:r>
      <w:proofErr w:type="spellStart"/>
      <w:r w:rsidRPr="00B013CD">
        <w:rPr>
          <w:rFonts w:ascii="Arial" w:hAnsi="Arial" w:cs="Arial"/>
          <w:color w:val="231F20"/>
          <w:sz w:val="24"/>
          <w:szCs w:val="24"/>
        </w:rPr>
        <w:t>assessee</w:t>
      </w:r>
      <w:proofErr w:type="spellEnd"/>
      <w:r w:rsidRPr="00B013CD">
        <w:rPr>
          <w:rFonts w:ascii="Arial" w:hAnsi="Arial" w:cs="Arial"/>
          <w:color w:val="231F20"/>
          <w:sz w:val="24"/>
          <w:szCs w:val="24"/>
        </w:rPr>
        <w:t xml:space="preserve">, being an individual employed by the </w:t>
      </w:r>
      <w:r w:rsidRPr="00B013CD">
        <w:rPr>
          <w:rFonts w:ascii="Arial" w:hAnsi="Arial" w:cs="Arial"/>
          <w:b/>
          <w:color w:val="231F20"/>
          <w:sz w:val="24"/>
          <w:szCs w:val="24"/>
        </w:rPr>
        <w:t>Central Government on or after the 1st day of January, 2004</w:t>
      </w:r>
      <w:r w:rsidRPr="00B013CD">
        <w:rPr>
          <w:rFonts w:ascii="Arial" w:hAnsi="Arial" w:cs="Arial"/>
          <w:color w:val="231F20"/>
          <w:sz w:val="24"/>
          <w:szCs w:val="24"/>
        </w:rPr>
        <w:t xml:space="preserve"> or, being an individual employed by </w:t>
      </w:r>
      <w:r w:rsidRPr="00B013CD">
        <w:rPr>
          <w:rFonts w:ascii="Arial" w:hAnsi="Arial" w:cs="Arial"/>
          <w:b/>
          <w:color w:val="231F20"/>
          <w:sz w:val="24"/>
          <w:szCs w:val="24"/>
        </w:rPr>
        <w:t>any other employer</w:t>
      </w:r>
      <w:r w:rsidRPr="00B013CD">
        <w:rPr>
          <w:rFonts w:ascii="Arial" w:hAnsi="Arial" w:cs="Arial"/>
          <w:color w:val="231F20"/>
          <w:sz w:val="24"/>
          <w:szCs w:val="24"/>
        </w:rPr>
        <w:t>” shall be substituted;</w:t>
      </w:r>
    </w:p>
    <w:p w:rsidR="00B013CD" w:rsidRPr="00B013CD" w:rsidRDefault="00B013CD" w:rsidP="00B013CD">
      <w:pPr>
        <w:pStyle w:val="ListParagraph"/>
        <w:autoSpaceDE w:val="0"/>
        <w:autoSpaceDN w:val="0"/>
        <w:adjustRightInd w:val="0"/>
        <w:spacing w:after="0" w:line="240" w:lineRule="auto"/>
        <w:ind w:left="1080"/>
        <w:jc w:val="both"/>
        <w:rPr>
          <w:rFonts w:ascii="Arial" w:hAnsi="Arial" w:cs="Arial"/>
          <w:color w:val="231F20"/>
          <w:sz w:val="24"/>
          <w:szCs w:val="24"/>
        </w:rPr>
      </w:pPr>
    </w:p>
    <w:p w:rsidR="00B013CD" w:rsidRPr="00B013CD" w:rsidRDefault="00B013CD" w:rsidP="00B013CD">
      <w:pPr>
        <w:autoSpaceDE w:val="0"/>
        <w:autoSpaceDN w:val="0"/>
        <w:adjustRightInd w:val="0"/>
        <w:spacing w:after="0" w:line="240" w:lineRule="auto"/>
        <w:ind w:left="288"/>
        <w:jc w:val="both"/>
        <w:rPr>
          <w:rFonts w:ascii="Arial" w:hAnsi="Arial" w:cs="Arial"/>
          <w:color w:val="231F20"/>
          <w:sz w:val="24"/>
          <w:szCs w:val="24"/>
        </w:rPr>
      </w:pPr>
      <w:r w:rsidRPr="00B013CD">
        <w:rPr>
          <w:rFonts w:ascii="Arial" w:hAnsi="Arial" w:cs="Arial"/>
          <w:color w:val="231F20"/>
          <w:sz w:val="24"/>
          <w:szCs w:val="24"/>
        </w:rPr>
        <w:t>(</w:t>
      </w:r>
      <w:r w:rsidRPr="00B013CD">
        <w:rPr>
          <w:rFonts w:ascii="Arial" w:hAnsi="Arial" w:cs="Arial"/>
          <w:i/>
          <w:iCs/>
          <w:color w:val="231F20"/>
          <w:sz w:val="24"/>
          <w:szCs w:val="24"/>
        </w:rPr>
        <w:t>ii</w:t>
      </w:r>
      <w:r w:rsidRPr="00B013CD">
        <w:rPr>
          <w:rFonts w:ascii="Arial" w:hAnsi="Arial" w:cs="Arial"/>
          <w:color w:val="231F20"/>
          <w:sz w:val="24"/>
          <w:szCs w:val="24"/>
        </w:rPr>
        <w:t xml:space="preserve">) </w:t>
      </w:r>
      <w:r>
        <w:rPr>
          <w:rFonts w:ascii="Arial" w:hAnsi="Arial" w:cs="Arial"/>
          <w:color w:val="231F20"/>
          <w:sz w:val="24"/>
          <w:szCs w:val="24"/>
        </w:rPr>
        <w:t xml:space="preserve">       </w:t>
      </w:r>
      <w:proofErr w:type="gramStart"/>
      <w:r w:rsidRPr="00B013CD">
        <w:rPr>
          <w:rFonts w:ascii="Arial" w:hAnsi="Arial" w:cs="Arial"/>
          <w:color w:val="231F20"/>
          <w:sz w:val="24"/>
          <w:szCs w:val="24"/>
        </w:rPr>
        <w:t>after</w:t>
      </w:r>
      <w:proofErr w:type="gramEnd"/>
      <w:r w:rsidRPr="00B013CD">
        <w:rPr>
          <w:rFonts w:ascii="Arial" w:hAnsi="Arial" w:cs="Arial"/>
          <w:color w:val="231F20"/>
          <w:sz w:val="24"/>
          <w:szCs w:val="24"/>
        </w:rPr>
        <w:t xml:space="preserve"> sub-section (</w:t>
      </w:r>
      <w:r w:rsidRPr="00B013CD">
        <w:rPr>
          <w:rFonts w:ascii="Arial" w:hAnsi="Arial" w:cs="Arial"/>
          <w:i/>
          <w:iCs/>
          <w:color w:val="231F20"/>
          <w:sz w:val="24"/>
          <w:szCs w:val="24"/>
        </w:rPr>
        <w:t>1</w:t>
      </w:r>
      <w:r w:rsidRPr="00B013CD">
        <w:rPr>
          <w:rFonts w:ascii="Arial" w:hAnsi="Arial" w:cs="Arial"/>
          <w:color w:val="231F20"/>
          <w:sz w:val="24"/>
          <w:szCs w:val="24"/>
        </w:rPr>
        <w:t>), the following sub-section shall be inserted, namely:––</w:t>
      </w:r>
    </w:p>
    <w:p w:rsidR="00B013CD" w:rsidRDefault="00B013CD" w:rsidP="00B013CD">
      <w:pPr>
        <w:autoSpaceDE w:val="0"/>
        <w:autoSpaceDN w:val="0"/>
        <w:adjustRightInd w:val="0"/>
        <w:spacing w:after="0" w:line="240" w:lineRule="auto"/>
        <w:jc w:val="both"/>
        <w:rPr>
          <w:rFonts w:ascii="Arial" w:hAnsi="Arial" w:cs="Arial"/>
          <w:b/>
          <w:color w:val="231F20"/>
          <w:sz w:val="24"/>
          <w:szCs w:val="24"/>
        </w:rPr>
      </w:pPr>
      <w:r>
        <w:rPr>
          <w:rFonts w:ascii="Arial" w:hAnsi="Arial" w:cs="Arial"/>
          <w:color w:val="231F20"/>
          <w:sz w:val="24"/>
          <w:szCs w:val="24"/>
        </w:rPr>
        <w:t xml:space="preserve">                 </w:t>
      </w:r>
      <w:r w:rsidRPr="00B013CD">
        <w:rPr>
          <w:rFonts w:ascii="Arial" w:hAnsi="Arial" w:cs="Arial"/>
          <w:color w:val="231F20"/>
          <w:sz w:val="24"/>
          <w:szCs w:val="24"/>
        </w:rPr>
        <w:t>“(</w:t>
      </w:r>
      <w:r w:rsidRPr="00B013CD">
        <w:rPr>
          <w:rFonts w:ascii="Arial" w:hAnsi="Arial" w:cs="Arial"/>
          <w:i/>
          <w:iCs/>
          <w:color w:val="231F20"/>
          <w:sz w:val="24"/>
          <w:szCs w:val="24"/>
        </w:rPr>
        <w:t>1A</w:t>
      </w:r>
      <w:r w:rsidRPr="00B013CD">
        <w:rPr>
          <w:rFonts w:ascii="Arial" w:hAnsi="Arial" w:cs="Arial"/>
          <w:color w:val="231F20"/>
          <w:sz w:val="24"/>
          <w:szCs w:val="24"/>
        </w:rPr>
        <w:t xml:space="preserve">) </w:t>
      </w:r>
      <w:proofErr w:type="gramStart"/>
      <w:r w:rsidRPr="00B013CD">
        <w:rPr>
          <w:rFonts w:ascii="Arial" w:hAnsi="Arial" w:cs="Arial"/>
          <w:color w:val="231F20"/>
          <w:sz w:val="24"/>
          <w:szCs w:val="24"/>
        </w:rPr>
        <w:t>The</w:t>
      </w:r>
      <w:proofErr w:type="gramEnd"/>
      <w:r w:rsidRPr="00B013CD">
        <w:rPr>
          <w:rFonts w:ascii="Arial" w:hAnsi="Arial" w:cs="Arial"/>
          <w:color w:val="231F20"/>
          <w:sz w:val="24"/>
          <w:szCs w:val="24"/>
        </w:rPr>
        <w:t xml:space="preserve"> amount of deduction under sub-section (</w:t>
      </w:r>
      <w:r w:rsidRPr="00B013CD">
        <w:rPr>
          <w:rFonts w:ascii="Arial" w:hAnsi="Arial" w:cs="Arial"/>
          <w:i/>
          <w:iCs/>
          <w:color w:val="231F20"/>
          <w:sz w:val="24"/>
          <w:szCs w:val="24"/>
        </w:rPr>
        <w:t>1</w:t>
      </w:r>
      <w:r w:rsidRPr="00B013CD">
        <w:rPr>
          <w:rFonts w:ascii="Arial" w:hAnsi="Arial" w:cs="Arial"/>
          <w:color w:val="231F20"/>
          <w:sz w:val="24"/>
          <w:szCs w:val="24"/>
        </w:rPr>
        <w:t xml:space="preserve">) shall </w:t>
      </w:r>
      <w:r w:rsidRPr="00B013CD">
        <w:rPr>
          <w:rFonts w:ascii="Arial" w:hAnsi="Arial" w:cs="Arial"/>
          <w:b/>
          <w:color w:val="231F20"/>
          <w:sz w:val="24"/>
          <w:szCs w:val="24"/>
        </w:rPr>
        <w:t xml:space="preserve">not exceed one </w:t>
      </w:r>
      <w:r>
        <w:rPr>
          <w:rFonts w:ascii="Arial" w:hAnsi="Arial" w:cs="Arial"/>
          <w:b/>
          <w:color w:val="231F20"/>
          <w:sz w:val="24"/>
          <w:szCs w:val="24"/>
        </w:rPr>
        <w:t xml:space="preserve">                   </w:t>
      </w:r>
    </w:p>
    <w:p w:rsidR="005015BD" w:rsidRDefault="00B013CD" w:rsidP="00B013CD">
      <w:pPr>
        <w:autoSpaceDE w:val="0"/>
        <w:autoSpaceDN w:val="0"/>
        <w:adjustRightInd w:val="0"/>
        <w:spacing w:after="0" w:line="240" w:lineRule="auto"/>
        <w:jc w:val="both"/>
        <w:rPr>
          <w:rFonts w:ascii="Arial" w:hAnsi="Arial" w:cs="Arial"/>
          <w:color w:val="231F20"/>
          <w:sz w:val="24"/>
          <w:szCs w:val="24"/>
        </w:rPr>
      </w:pPr>
      <w:r>
        <w:rPr>
          <w:rFonts w:ascii="Arial" w:hAnsi="Arial" w:cs="Arial"/>
          <w:b/>
          <w:color w:val="231F20"/>
          <w:sz w:val="24"/>
          <w:szCs w:val="24"/>
        </w:rPr>
        <w:t xml:space="preserve">                 </w:t>
      </w:r>
      <w:proofErr w:type="gramStart"/>
      <w:r w:rsidRPr="00B013CD">
        <w:rPr>
          <w:rFonts w:ascii="Arial" w:hAnsi="Arial" w:cs="Arial"/>
          <w:b/>
          <w:color w:val="231F20"/>
          <w:sz w:val="24"/>
          <w:szCs w:val="24"/>
        </w:rPr>
        <w:t>hundred</w:t>
      </w:r>
      <w:proofErr w:type="gramEnd"/>
      <w:r w:rsidRPr="00B013CD">
        <w:rPr>
          <w:rFonts w:ascii="Arial" w:hAnsi="Arial" w:cs="Arial"/>
          <w:b/>
          <w:color w:val="231F20"/>
          <w:sz w:val="24"/>
          <w:szCs w:val="24"/>
        </w:rPr>
        <w:t xml:space="preserve"> thousand rupees</w:t>
      </w:r>
      <w:r w:rsidRPr="00B013CD">
        <w:rPr>
          <w:rFonts w:ascii="Arial" w:hAnsi="Arial" w:cs="Arial"/>
          <w:color w:val="231F20"/>
          <w:sz w:val="24"/>
          <w:szCs w:val="24"/>
        </w:rPr>
        <w:t>.”.</w:t>
      </w:r>
    </w:p>
    <w:p w:rsidR="00FA72AB" w:rsidRDefault="00FA72AB" w:rsidP="00B013CD">
      <w:pPr>
        <w:autoSpaceDE w:val="0"/>
        <w:autoSpaceDN w:val="0"/>
        <w:adjustRightInd w:val="0"/>
        <w:spacing w:after="0" w:line="240" w:lineRule="auto"/>
        <w:jc w:val="both"/>
        <w:rPr>
          <w:rFonts w:ascii="Arial" w:hAnsi="Arial" w:cs="Arial"/>
          <w:color w:val="231F20"/>
          <w:sz w:val="24"/>
          <w:szCs w:val="24"/>
        </w:rPr>
      </w:pPr>
    </w:p>
    <w:p w:rsidR="00FA72AB" w:rsidRDefault="00FA72AB" w:rsidP="00B013CD">
      <w:pPr>
        <w:autoSpaceDE w:val="0"/>
        <w:autoSpaceDN w:val="0"/>
        <w:adjustRightInd w:val="0"/>
        <w:spacing w:after="0" w:line="240" w:lineRule="auto"/>
        <w:jc w:val="both"/>
        <w:rPr>
          <w:rFonts w:ascii="Arial" w:hAnsi="Arial" w:cs="Arial"/>
          <w:color w:val="231F20"/>
          <w:sz w:val="24"/>
          <w:szCs w:val="24"/>
        </w:rPr>
      </w:pPr>
    </w:p>
    <w:p w:rsidR="00FA72AB" w:rsidRDefault="00FA72AB" w:rsidP="00FA72AB">
      <w:pPr>
        <w:pStyle w:val="NormalWeb"/>
        <w:pBdr>
          <w:top w:val="single" w:sz="4" w:space="1" w:color="auto"/>
          <w:bottom w:val="single" w:sz="4" w:space="1" w:color="auto"/>
        </w:pBdr>
        <w:shd w:val="clear" w:color="auto" w:fill="FFFFFF"/>
        <w:jc w:val="center"/>
        <w:rPr>
          <w:rStyle w:val="Strong"/>
          <w:rFonts w:ascii="Helvetica" w:hAnsi="Helvetica" w:cs="Helvetica"/>
          <w:color w:val="000000"/>
          <w:sz w:val="23"/>
          <w:szCs w:val="23"/>
        </w:rPr>
      </w:pPr>
      <w:r>
        <w:rPr>
          <w:rStyle w:val="Strong"/>
          <w:rFonts w:ascii="Helvetica" w:hAnsi="Helvetica" w:cs="Helvetica"/>
          <w:color w:val="000000"/>
          <w:sz w:val="23"/>
          <w:szCs w:val="23"/>
        </w:rPr>
        <w:t>Extension of tax benefits under section 80CCD to private sector employees</w:t>
      </w:r>
    </w:p>
    <w:p w:rsidR="00FA72AB" w:rsidRPr="00FA72AB" w:rsidRDefault="00FA72AB" w:rsidP="00FA72AB">
      <w:pPr>
        <w:pStyle w:val="NormalWeb"/>
        <w:pBdr>
          <w:top w:val="single" w:sz="4" w:space="1" w:color="auto"/>
          <w:bottom w:val="single" w:sz="4" w:space="1" w:color="auto"/>
        </w:pBdr>
        <w:shd w:val="clear" w:color="auto" w:fill="FFFFFF"/>
        <w:rPr>
          <w:rFonts w:ascii="Helvetica" w:hAnsi="Helvetica" w:cs="Helvetica"/>
          <w:b/>
          <w:bCs/>
          <w:color w:val="000000"/>
          <w:sz w:val="23"/>
          <w:szCs w:val="23"/>
        </w:rPr>
      </w:pPr>
    </w:p>
    <w:p w:rsidR="00FA72AB" w:rsidRDefault="00FA72AB" w:rsidP="00FA72AB">
      <w:pPr>
        <w:pStyle w:val="NormalWeb"/>
        <w:pBdr>
          <w:top w:val="single" w:sz="4" w:space="1" w:color="auto"/>
          <w:bottom w:val="single" w:sz="4" w:space="1" w:color="auto"/>
        </w:pBdr>
        <w:shd w:val="clear" w:color="auto" w:fill="FFFFFF"/>
        <w:jc w:val="both"/>
        <w:rPr>
          <w:rFonts w:ascii="Helvetica" w:hAnsi="Helvetica" w:cs="Helvetica"/>
          <w:color w:val="000000"/>
          <w:sz w:val="23"/>
          <w:szCs w:val="23"/>
        </w:rPr>
      </w:pPr>
      <w:r>
        <w:rPr>
          <w:rFonts w:ascii="Helvetica" w:hAnsi="Helvetica" w:cs="Helvetica"/>
          <w:color w:val="000000"/>
          <w:sz w:val="23"/>
          <w:szCs w:val="23"/>
        </w:rPr>
        <w:t xml:space="preserve">     Under the existing provisions contained in sub-section (1) of section 80CCD of the Act, if an individual, employed by the Central Government or any other employer on or after 1st January, 2004, has paid or deposited any amount in a previous year in his account under a notified pension scheme, a deduction of such amount not exceeding ten per cent. </w:t>
      </w:r>
      <w:proofErr w:type="gramStart"/>
      <w:r>
        <w:rPr>
          <w:rFonts w:ascii="Helvetica" w:hAnsi="Helvetica" w:cs="Helvetica"/>
          <w:color w:val="000000"/>
          <w:sz w:val="23"/>
          <w:szCs w:val="23"/>
        </w:rPr>
        <w:t>of</w:t>
      </w:r>
      <w:proofErr w:type="gramEnd"/>
      <w:r>
        <w:rPr>
          <w:rFonts w:ascii="Helvetica" w:hAnsi="Helvetica" w:cs="Helvetica"/>
          <w:color w:val="000000"/>
          <w:sz w:val="23"/>
          <w:szCs w:val="23"/>
        </w:rPr>
        <w:t xml:space="preserve"> his salary is allowed. Similarly, the contribution made by the Central Government or any other employer to the said account of the individual under the pension scheme is also allowed as deduction under sub-section (2) of section 80CCD, to the extent it does not exceed ten per cent. </w:t>
      </w:r>
      <w:proofErr w:type="gramStart"/>
      <w:r>
        <w:rPr>
          <w:rFonts w:ascii="Helvetica" w:hAnsi="Helvetica" w:cs="Helvetica"/>
          <w:color w:val="000000"/>
          <w:sz w:val="23"/>
          <w:szCs w:val="23"/>
        </w:rPr>
        <w:t>of</w:t>
      </w:r>
      <w:proofErr w:type="gramEnd"/>
      <w:r>
        <w:rPr>
          <w:rFonts w:ascii="Helvetica" w:hAnsi="Helvetica" w:cs="Helvetica"/>
          <w:color w:val="000000"/>
          <w:sz w:val="23"/>
          <w:szCs w:val="23"/>
        </w:rPr>
        <w:t xml:space="preserve"> the salary of the individual in the previous year.</w:t>
      </w:r>
    </w:p>
    <w:p w:rsidR="00FA72AB" w:rsidRDefault="00FA72AB" w:rsidP="00FA72AB">
      <w:pPr>
        <w:pStyle w:val="NormalWeb"/>
        <w:pBdr>
          <w:top w:val="single" w:sz="4" w:space="1" w:color="auto"/>
          <w:bottom w:val="single" w:sz="4" w:space="1" w:color="auto"/>
        </w:pBdr>
        <w:shd w:val="clear" w:color="auto" w:fill="FFFFFF"/>
        <w:jc w:val="both"/>
        <w:rPr>
          <w:rFonts w:ascii="Helvetica" w:hAnsi="Helvetica" w:cs="Helvetica"/>
          <w:color w:val="000000"/>
          <w:sz w:val="23"/>
          <w:szCs w:val="23"/>
        </w:rPr>
      </w:pPr>
      <w:r>
        <w:rPr>
          <w:rFonts w:ascii="Helvetica" w:hAnsi="Helvetica" w:cs="Helvetica"/>
          <w:color w:val="000000"/>
          <w:sz w:val="23"/>
          <w:szCs w:val="23"/>
        </w:rPr>
        <w:t>     Considering the fact that for employees in the private sector, the date of joining the service is not relevant for joining the New Pension Scheme (NPS), it is proposed to amend the provisions of section 80CCD to provide that the condition of the date of joining the service on or after 1.1.2004 is not applicable to them for the purposes of deduction under the said section.</w:t>
      </w:r>
    </w:p>
    <w:p w:rsidR="00FA72AB" w:rsidRDefault="00FA72AB" w:rsidP="00FA72AB">
      <w:pPr>
        <w:pStyle w:val="NormalWeb"/>
        <w:pBdr>
          <w:top w:val="single" w:sz="4" w:space="1" w:color="auto"/>
          <w:bottom w:val="single" w:sz="4" w:space="1" w:color="auto"/>
        </w:pBdr>
        <w:shd w:val="clear" w:color="auto" w:fill="FFFFFF"/>
        <w:jc w:val="both"/>
        <w:rPr>
          <w:rFonts w:ascii="Helvetica" w:hAnsi="Helvetica" w:cs="Helvetica"/>
          <w:color w:val="000000"/>
          <w:sz w:val="23"/>
          <w:szCs w:val="23"/>
        </w:rPr>
      </w:pPr>
      <w:r>
        <w:rPr>
          <w:rFonts w:ascii="Helvetica" w:hAnsi="Helvetica" w:cs="Helvetica"/>
          <w:color w:val="000000"/>
          <w:sz w:val="23"/>
          <w:szCs w:val="23"/>
        </w:rPr>
        <w:t>     This amendment will take effect from 1st April, 2015 and will, accordingly, apply in relation to assessment year 2015-16 and subsequent assessment years.</w:t>
      </w:r>
    </w:p>
    <w:p w:rsidR="00FA72AB" w:rsidRDefault="00FA72AB" w:rsidP="00FA72AB"/>
    <w:p w:rsidR="00FA72AB" w:rsidRPr="00B013CD" w:rsidRDefault="00FA72AB" w:rsidP="00B013CD">
      <w:pPr>
        <w:autoSpaceDE w:val="0"/>
        <w:autoSpaceDN w:val="0"/>
        <w:adjustRightInd w:val="0"/>
        <w:spacing w:after="0" w:line="240" w:lineRule="auto"/>
        <w:jc w:val="both"/>
        <w:rPr>
          <w:rFonts w:ascii="Arial" w:hAnsi="Arial" w:cs="Arial"/>
          <w:color w:val="231F20"/>
          <w:sz w:val="24"/>
          <w:szCs w:val="24"/>
        </w:rPr>
      </w:pPr>
    </w:p>
    <w:sectPr w:rsidR="00FA72AB" w:rsidRPr="00B013CD"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20121"/>
    <w:multiLevelType w:val="hybridMultilevel"/>
    <w:tmpl w:val="2B7A3950"/>
    <w:lvl w:ilvl="0" w:tplc="9904BA28">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B013CD"/>
    <w:rsid w:val="005015BD"/>
    <w:rsid w:val="007B5FA2"/>
    <w:rsid w:val="00B013CD"/>
    <w:rsid w:val="00FA72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3CD"/>
    <w:pPr>
      <w:ind w:left="720"/>
      <w:contextualSpacing/>
    </w:pPr>
  </w:style>
  <w:style w:type="paragraph" w:styleId="NormalWeb">
    <w:name w:val="Normal (Web)"/>
    <w:basedOn w:val="Normal"/>
    <w:uiPriority w:val="99"/>
    <w:semiHidden/>
    <w:unhideWhenUsed/>
    <w:rsid w:val="00FA72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72AB"/>
    <w:rPr>
      <w:b/>
      <w:bCs/>
    </w:rPr>
  </w:style>
</w:styles>
</file>

<file path=word/webSettings.xml><?xml version="1.0" encoding="utf-8"?>
<w:webSettings xmlns:r="http://schemas.openxmlformats.org/officeDocument/2006/relationships" xmlns:w="http://schemas.openxmlformats.org/wordprocessingml/2006/main">
  <w:divs>
    <w:div w:id="42319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308</Words>
  <Characters>1757</Characters>
  <Application>Microsoft Office Word</Application>
  <DocSecurity>0</DocSecurity>
  <Lines>14</Lines>
  <Paragraphs>4</Paragraphs>
  <ScaleCrop>false</ScaleCrop>
  <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2</cp:revision>
  <dcterms:created xsi:type="dcterms:W3CDTF">2014-07-16T08:08:00Z</dcterms:created>
  <dcterms:modified xsi:type="dcterms:W3CDTF">2014-07-16T10:03:00Z</dcterms:modified>
</cp:coreProperties>
</file>